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A1" w:rsidRPr="002C5DA1" w:rsidRDefault="002C5DA1" w:rsidP="002C5DA1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u w:val="single"/>
        </w:rPr>
      </w:pPr>
      <w:r w:rsidRPr="002C5DA1">
        <w:rPr>
          <w:b/>
          <w:color w:val="000000"/>
          <w:u w:val="single"/>
        </w:rPr>
        <w:t>PROCEDIMENTOS QUANDO DA AQUISIÇÃO DE PASSAGENS AÉREAS NACIONAIS E INTERNACIONAIS</w:t>
      </w:r>
    </w:p>
    <w:p w:rsidR="002C5DA1" w:rsidRDefault="002C5DA1" w:rsidP="002C5DA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2C5DA1" w:rsidRDefault="002C5DA1" w:rsidP="002C5DA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rStyle w:val="apple-tab-span"/>
          <w:color w:val="000000"/>
        </w:rPr>
        <w:tab/>
      </w:r>
      <w:r>
        <w:rPr>
          <w:color w:val="000000"/>
        </w:rPr>
        <w:t>Considerando o ofício </w:t>
      </w:r>
      <w:r>
        <w:rPr>
          <w:rFonts w:ascii="Arial" w:hAnsi="Arial" w:cs="Arial"/>
          <w:b/>
          <w:bCs/>
          <w:color w:val="000000"/>
        </w:rPr>
        <w:t>CODAGE/CIRC/032/2016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color w:val="000000"/>
        </w:rPr>
        <w:t>disponibilizado no link</w:t>
      </w:r>
      <w:r>
        <w:rPr>
          <w:rFonts w:ascii="Arial" w:hAnsi="Arial" w:cs="Arial"/>
          <w:b/>
          <w:bCs/>
          <w:color w:val="000000"/>
        </w:rPr>
        <w:t> </w:t>
      </w:r>
      <w:hyperlink r:id="rId6" w:tgtFrame="_blank" w:history="1">
        <w:r>
          <w:rPr>
            <w:rStyle w:val="Hyperlink"/>
            <w:color w:val="00008B"/>
          </w:rPr>
          <w:t>http://goo.gl/kqd9rZ</w:t>
        </w:r>
      </w:hyperlink>
      <w:r>
        <w:rPr>
          <w:color w:val="000000"/>
        </w:rPr>
        <w:t>, o qual trata dos procedimentos a serem observados pelas Unidades/Órgãos, quando da aquisição de passagens aéreas nacionais e internacionais, ressaltamos que:</w:t>
      </w:r>
    </w:p>
    <w:p w:rsidR="002C5DA1" w:rsidRDefault="002C5DA1" w:rsidP="002C5DA1">
      <w:pPr>
        <w:pStyle w:val="PargrafodaLista"/>
        <w:shd w:val="clear" w:color="auto" w:fill="FFFFFF"/>
        <w:ind w:left="405"/>
        <w:jc w:val="both"/>
        <w:rPr>
          <w:color w:val="000000"/>
        </w:rPr>
      </w:pP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(a)</w:t>
      </w:r>
      <w:r>
        <w:rPr>
          <w:color w:val="000000"/>
          <w:sz w:val="14"/>
          <w:szCs w:val="14"/>
        </w:rPr>
        <w:t>    </w:t>
      </w:r>
      <w:r>
        <w:rPr>
          <w:rFonts w:ascii="Calibri" w:hAnsi="Calibri"/>
          <w:color w:val="000000"/>
          <w:sz w:val="22"/>
          <w:szCs w:val="22"/>
        </w:rPr>
        <w:t>as pesquisas de voos disponíveis para os dias e horários especificados, objetivando a reserva, devem ser efetuadas</w:t>
      </w:r>
      <w:r>
        <w:rPr>
          <w:rFonts w:ascii="Calibri" w:hAnsi="Calibri"/>
          <w:strike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> por intermédio do sistema de </w:t>
      </w:r>
      <w:proofErr w:type="spellStart"/>
      <w:r>
        <w:rPr>
          <w:rFonts w:ascii="Calibri" w:hAnsi="Calibri"/>
          <w:i/>
          <w:iCs/>
          <w:color w:val="000000"/>
          <w:sz w:val="22"/>
          <w:szCs w:val="22"/>
        </w:rPr>
        <w:t>self-booking</w:t>
      </w:r>
      <w:proofErr w:type="spellEnd"/>
      <w:r>
        <w:rPr>
          <w:rFonts w:ascii="Calibri" w:hAnsi="Calibri"/>
          <w:color w:val="000000"/>
          <w:sz w:val="22"/>
          <w:szCs w:val="22"/>
        </w:rPr>
        <w:t> indicado pela Contratada, salvo em casos de indisponibilidade;</w:t>
      </w:r>
    </w:p>
    <w:p w:rsidR="002C5DA1" w:rsidRDefault="002C5DA1" w:rsidP="002C5DA1">
      <w:pPr>
        <w:pStyle w:val="PargrafodaLista"/>
        <w:shd w:val="clear" w:color="auto" w:fill="FFFFFF"/>
        <w:ind w:left="405"/>
        <w:jc w:val="both"/>
        <w:rPr>
          <w:color w:val="000000"/>
        </w:rPr>
      </w:pP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(b)</w:t>
      </w:r>
      <w:r>
        <w:rPr>
          <w:color w:val="000000"/>
          <w:sz w:val="14"/>
          <w:szCs w:val="14"/>
        </w:rPr>
        <w:t>   </w:t>
      </w:r>
      <w:r>
        <w:rPr>
          <w:rFonts w:ascii="Calibri" w:hAnsi="Calibri"/>
          <w:color w:val="000000"/>
          <w:sz w:val="22"/>
          <w:szCs w:val="22"/>
        </w:rPr>
        <w:t>a pesquisa junto ao site das companhias aéreas é obrigatória, visto que dos autos deve constar documentação comprobatória de que o preço oferecido pela agência de viagens contratada é compatível com os preços de mercado. Para efeito de comparação de preços é essencial que a pesquisa seja realizada em horários próximos, com os mesmos voos, no sistema de </w:t>
      </w:r>
      <w:proofErr w:type="spellStart"/>
      <w:r>
        <w:rPr>
          <w:rFonts w:ascii="Calibri" w:hAnsi="Calibri"/>
          <w:i/>
          <w:iCs/>
          <w:color w:val="000000"/>
          <w:sz w:val="22"/>
          <w:szCs w:val="22"/>
        </w:rPr>
        <w:t>self-booking</w:t>
      </w:r>
      <w:proofErr w:type="spellEnd"/>
      <w:r>
        <w:rPr>
          <w:rFonts w:ascii="Calibri" w:hAnsi="Calibri"/>
          <w:color w:val="000000"/>
          <w:sz w:val="22"/>
          <w:szCs w:val="22"/>
        </w:rPr>
        <w:t> e no site das companhias aéreas, bem como, observar se estão sendo consideradas as mesmas classes tarifárias;</w:t>
      </w:r>
    </w:p>
    <w:p w:rsidR="002C5DA1" w:rsidRDefault="002C5DA1" w:rsidP="002C5DA1">
      <w:pPr>
        <w:pStyle w:val="PargrafodaLista"/>
        <w:shd w:val="clear" w:color="auto" w:fill="FFFFFF"/>
        <w:ind w:left="405"/>
        <w:jc w:val="both"/>
        <w:rPr>
          <w:color w:val="000000"/>
        </w:rPr>
      </w:pP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(c)</w:t>
      </w:r>
      <w:r>
        <w:rPr>
          <w:color w:val="000000"/>
          <w:sz w:val="14"/>
          <w:szCs w:val="14"/>
        </w:rPr>
        <w:t>    </w:t>
      </w:r>
      <w:r>
        <w:rPr>
          <w:rFonts w:ascii="Calibri" w:hAnsi="Calibri"/>
          <w:color w:val="000000"/>
          <w:sz w:val="22"/>
          <w:szCs w:val="22"/>
        </w:rPr>
        <w:t>em relação aos preços veiculados no sistema de </w:t>
      </w:r>
      <w:proofErr w:type="spellStart"/>
      <w:r>
        <w:rPr>
          <w:rFonts w:ascii="Calibri" w:hAnsi="Calibri"/>
          <w:i/>
          <w:iCs/>
          <w:color w:val="000000"/>
          <w:sz w:val="22"/>
          <w:szCs w:val="22"/>
        </w:rPr>
        <w:t>self-booking</w:t>
      </w:r>
      <w:proofErr w:type="spellEnd"/>
      <w:r>
        <w:rPr>
          <w:rFonts w:ascii="Calibri" w:hAnsi="Calibri"/>
          <w:i/>
          <w:iCs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> em alguns casos, verifica-se o acréscimo referente à Taxa DU, que é visualizada no momento da cotação da passagem. Todavia, a referida taxa não é incluída pela Contratada no momento do faturamento, em virtude de restrição prevista no Contrato da USP (Anexo I – item 1.2 do Contrato), restrição esta não usual para todos os contratos comerciais da mesma;</w:t>
      </w:r>
    </w:p>
    <w:p w:rsidR="002C5DA1" w:rsidRDefault="002C5DA1" w:rsidP="002C5DA1">
      <w:pPr>
        <w:pStyle w:val="PargrafodaLista"/>
        <w:shd w:val="clear" w:color="auto" w:fill="FFFFFF"/>
        <w:ind w:left="405"/>
        <w:jc w:val="both"/>
        <w:rPr>
          <w:color w:val="000000"/>
        </w:rPr>
      </w:pP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(d)</w:t>
      </w:r>
      <w:r>
        <w:rPr>
          <w:color w:val="000000"/>
          <w:sz w:val="14"/>
          <w:szCs w:val="14"/>
        </w:rPr>
        <w:t>   </w:t>
      </w:r>
      <w:r>
        <w:rPr>
          <w:rFonts w:ascii="Calibri" w:hAnsi="Calibri"/>
          <w:color w:val="000000"/>
          <w:sz w:val="22"/>
          <w:szCs w:val="22"/>
        </w:rPr>
        <w:t>eventuais irregularidades verificadas nos preços disponibilizados pelo sistema de </w:t>
      </w:r>
      <w:proofErr w:type="spellStart"/>
      <w:r>
        <w:rPr>
          <w:rFonts w:ascii="Calibri" w:hAnsi="Calibri"/>
          <w:i/>
          <w:iCs/>
          <w:color w:val="000000"/>
          <w:sz w:val="22"/>
          <w:szCs w:val="22"/>
        </w:rPr>
        <w:t>self-booking</w:t>
      </w:r>
      <w:proofErr w:type="spellEnd"/>
      <w:r>
        <w:rPr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  <w:u w:val="single"/>
        </w:rPr>
        <w:t>devem</w:t>
      </w:r>
      <w:r>
        <w:rPr>
          <w:rFonts w:ascii="Calibri" w:hAnsi="Calibri"/>
          <w:color w:val="000000"/>
          <w:sz w:val="22"/>
          <w:szCs w:val="22"/>
        </w:rPr>
        <w:t> ser comunicadas pelas Unidades/Órgãos da Contratante diretamente à Contratada, com cópia para o email </w:t>
      </w:r>
      <w:hyperlink r:id="rId7" w:tgtFrame="_blank" w:history="1">
        <w:r>
          <w:rPr>
            <w:rStyle w:val="Hyperlink"/>
            <w:rFonts w:ascii="Calibri" w:hAnsi="Calibri"/>
            <w:color w:val="00008B"/>
            <w:sz w:val="22"/>
            <w:szCs w:val="22"/>
          </w:rPr>
          <w:t>da-contratos@usp.br</w:t>
        </w:r>
      </w:hyperlink>
      <w:r>
        <w:rPr>
          <w:rFonts w:ascii="Calibri" w:hAnsi="Calibri"/>
          <w:color w:val="000000"/>
          <w:sz w:val="22"/>
          <w:szCs w:val="22"/>
        </w:rPr>
        <w:t>, para a devida regularização pela Contratada e gestão contratual, conforme disposição contida no item 3 - DOS SERVIÇOS COMPREENDIDOS</w:t>
      </w:r>
      <w:r>
        <w:rPr>
          <w:color w:val="000000"/>
        </w:rPr>
        <w:t> do </w:t>
      </w:r>
      <w:r>
        <w:rPr>
          <w:rFonts w:ascii="Calibri" w:hAnsi="Calibri"/>
          <w:color w:val="000000"/>
          <w:sz w:val="22"/>
          <w:szCs w:val="22"/>
        </w:rPr>
        <w:t>ANEXO I</w:t>
      </w:r>
      <w:r>
        <w:rPr>
          <w:color w:val="000000"/>
        </w:rPr>
        <w:t> - </w:t>
      </w:r>
      <w:r>
        <w:rPr>
          <w:rFonts w:ascii="Calibri" w:hAnsi="Calibri"/>
          <w:color w:val="000000"/>
          <w:sz w:val="22"/>
          <w:szCs w:val="22"/>
        </w:rPr>
        <w:t>OBJETO DO CONTRATO,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  </w:t>
      </w:r>
      <w:proofErr w:type="gramEnd"/>
      <w:r>
        <w:rPr>
          <w:rFonts w:ascii="Calibri" w:hAnsi="Calibri"/>
          <w:color w:val="000000"/>
          <w:sz w:val="22"/>
          <w:szCs w:val="22"/>
        </w:rPr>
        <w:t>transcrito abaixo, no sentido de que eventuais irregularidades verificadas sejam comunicadas pela CONTRATANTE para a devida regularização.</w:t>
      </w:r>
    </w:p>
    <w:p w:rsidR="002C5DA1" w:rsidRDefault="002C5DA1" w:rsidP="002C5DA1">
      <w:pPr>
        <w:pStyle w:val="PargrafodaLista"/>
        <w:shd w:val="clear" w:color="auto" w:fill="FFFFFF"/>
        <w:ind w:left="765"/>
        <w:jc w:val="both"/>
        <w:rPr>
          <w:color w:val="000000"/>
        </w:rPr>
      </w:pPr>
      <w:proofErr w:type="gramStart"/>
      <w:r>
        <w:rPr>
          <w:rFonts w:ascii="Calibri" w:hAnsi="Calibri"/>
          <w:i/>
          <w:iCs/>
          <w:color w:val="000000"/>
        </w:rPr>
        <w:t>3</w:t>
      </w:r>
      <w:proofErr w:type="gramEnd"/>
      <w:r>
        <w:rPr>
          <w:color w:val="000000"/>
          <w:sz w:val="14"/>
          <w:szCs w:val="14"/>
        </w:rPr>
        <w:t>        </w:t>
      </w:r>
      <w:r>
        <w:rPr>
          <w:rFonts w:ascii="Calibri" w:hAnsi="Calibri"/>
          <w:i/>
          <w:iCs/>
          <w:color w:val="000000"/>
        </w:rPr>
        <w:t>- DOS SERVIÇOS COMPREENDIDOS</w:t>
      </w:r>
    </w:p>
    <w:p w:rsidR="002C5DA1" w:rsidRDefault="002C5DA1" w:rsidP="002C5DA1">
      <w:pPr>
        <w:shd w:val="clear" w:color="auto" w:fill="FFFFFF"/>
        <w:spacing w:line="300" w:lineRule="atLeast"/>
        <w:ind w:left="993"/>
        <w:jc w:val="both"/>
        <w:rPr>
          <w:color w:val="000000"/>
        </w:rPr>
      </w:pPr>
      <w:proofErr w:type="gramStart"/>
      <w:r>
        <w:rPr>
          <w:i/>
          <w:iCs/>
          <w:color w:val="000000"/>
        </w:rPr>
        <w:t>c)</w:t>
      </w:r>
      <w:proofErr w:type="gramEnd"/>
      <w:r>
        <w:rPr>
          <w:i/>
          <w:iCs/>
          <w:color w:val="000000"/>
        </w:rPr>
        <w:t>  Conferência de informações constantes na Reserva antes de sua respectiva emissão, sempre que solicitado;</w:t>
      </w:r>
    </w:p>
    <w:p w:rsidR="002C5DA1" w:rsidRDefault="002C5DA1" w:rsidP="002C5DA1">
      <w:pPr>
        <w:shd w:val="clear" w:color="auto" w:fill="FFFFFF"/>
        <w:spacing w:line="300" w:lineRule="atLeast"/>
        <w:ind w:left="993"/>
        <w:jc w:val="both"/>
        <w:rPr>
          <w:color w:val="000000"/>
        </w:rPr>
      </w:pPr>
      <w:r>
        <w:rPr>
          <w:i/>
          <w:iCs/>
          <w:color w:val="000000"/>
        </w:rPr>
        <w:t> </w:t>
      </w:r>
      <w:proofErr w:type="gramStart"/>
      <w:r>
        <w:rPr>
          <w:i/>
          <w:iCs/>
          <w:color w:val="000000"/>
        </w:rPr>
        <w:t>c.</w:t>
      </w:r>
      <w:proofErr w:type="gramEnd"/>
      <w:r>
        <w:rPr>
          <w:i/>
          <w:iCs/>
          <w:color w:val="000000"/>
        </w:rPr>
        <w:t>1.) Havendo irregularidades, a </w:t>
      </w:r>
      <w:r>
        <w:rPr>
          <w:b/>
          <w:bCs/>
          <w:i/>
          <w:iCs/>
          <w:color w:val="000000"/>
        </w:rPr>
        <w:t>CONTRATADA</w:t>
      </w:r>
      <w:r>
        <w:rPr>
          <w:i/>
          <w:iCs/>
          <w:color w:val="000000"/>
        </w:rPr>
        <w:t> deverá executar alterações pertinentes na reserva antes da emissão do bilhete, caso solicitado pela </w:t>
      </w:r>
      <w:r>
        <w:rPr>
          <w:b/>
          <w:bCs/>
          <w:i/>
          <w:iCs/>
          <w:color w:val="000000"/>
        </w:rPr>
        <w:t>CONTRATANTE</w:t>
      </w:r>
      <w:r>
        <w:rPr>
          <w:i/>
          <w:iCs/>
          <w:color w:val="000000"/>
        </w:rPr>
        <w:t>.</w:t>
      </w:r>
    </w:p>
    <w:p w:rsidR="002C5DA1" w:rsidRDefault="002C5DA1" w:rsidP="002C5DA1">
      <w:pPr>
        <w:shd w:val="clear" w:color="auto" w:fill="FFFFFF"/>
        <w:spacing w:line="300" w:lineRule="atLeast"/>
        <w:ind w:left="993"/>
        <w:jc w:val="both"/>
        <w:rPr>
          <w:color w:val="000000"/>
        </w:rPr>
      </w:pPr>
    </w:p>
    <w:p w:rsidR="002C5DA1" w:rsidRDefault="002C5DA1" w:rsidP="002C5DA1">
      <w:pPr>
        <w:shd w:val="clear" w:color="auto" w:fill="FFFFFF"/>
        <w:spacing w:line="300" w:lineRule="atLeast"/>
        <w:ind w:left="993"/>
        <w:jc w:val="both"/>
        <w:rPr>
          <w:color w:val="000000"/>
        </w:rPr>
      </w:pPr>
    </w:p>
    <w:sectPr w:rsidR="002C5DA1" w:rsidSect="00160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35B" w:rsidRDefault="008D435B">
      <w:r>
        <w:separator/>
      </w:r>
    </w:p>
  </w:endnote>
  <w:endnote w:type="continuationSeparator" w:id="0">
    <w:p w:rsidR="008D435B" w:rsidRDefault="008D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68" w:rsidRDefault="0016056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68" w:rsidRDefault="0016056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68" w:rsidRDefault="0016056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35B" w:rsidRDefault="008D435B">
      <w:r>
        <w:separator/>
      </w:r>
    </w:p>
  </w:footnote>
  <w:footnote w:type="continuationSeparator" w:id="0">
    <w:p w:rsidR="008D435B" w:rsidRDefault="008D4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68" w:rsidRDefault="0016056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68" w:rsidRDefault="0016056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68" w:rsidRDefault="0016056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D435B"/>
    <w:rsid w:val="00160568"/>
    <w:rsid w:val="002C5DA1"/>
    <w:rsid w:val="00896B51"/>
    <w:rsid w:val="008D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56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6B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6B51"/>
    <w:rPr>
      <w:sz w:val="24"/>
      <w:szCs w:val="24"/>
    </w:rPr>
  </w:style>
  <w:style w:type="paragraph" w:styleId="Rodap">
    <w:name w:val="footer"/>
    <w:basedOn w:val="Normal"/>
    <w:link w:val="RodapChar"/>
    <w:rsid w:val="00896B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6B51"/>
    <w:rPr>
      <w:sz w:val="24"/>
      <w:szCs w:val="24"/>
    </w:rPr>
  </w:style>
  <w:style w:type="character" w:customStyle="1" w:styleId="apple-tab-span">
    <w:name w:val="apple-tab-span"/>
    <w:basedOn w:val="Fontepargpadro"/>
    <w:rsid w:val="002C5DA1"/>
  </w:style>
  <w:style w:type="character" w:customStyle="1" w:styleId="object">
    <w:name w:val="object"/>
    <w:basedOn w:val="Fontepargpadro"/>
    <w:rsid w:val="002C5DA1"/>
  </w:style>
  <w:style w:type="character" w:styleId="Hyperlink">
    <w:name w:val="Hyperlink"/>
    <w:basedOn w:val="Fontepargpadro"/>
    <w:uiPriority w:val="99"/>
    <w:unhideWhenUsed/>
    <w:rsid w:val="002C5DA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C5D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a-contratos@usp.b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o.gl/kqd9r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6\Office%20Word%202003%20Look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2016-09-23T12:19:00Z</dcterms:created>
  <dcterms:modified xsi:type="dcterms:W3CDTF">2016-09-23T12:22:00Z</dcterms:modified>
</cp:coreProperties>
</file>